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5EB5B" w14:textId="5D2681F6" w:rsidR="00691A79" w:rsidRDefault="00EF3AE2" w:rsidP="00EF3AE2">
      <w:pPr>
        <w:pStyle w:val="1"/>
        <w:adjustRightInd w:val="0"/>
        <w:snapToGrid w:val="0"/>
        <w:spacing w:before="0" w:line="240" w:lineRule="auto"/>
        <w:ind w:firstLineChars="50" w:firstLine="90"/>
        <w:rPr>
          <w:rFonts w:ascii="Times New Roman" w:eastAsia="宋体" w:hAnsi="Times New Roman" w:cs="Times New Roman"/>
          <w:color w:val="auto"/>
          <w:sz w:val="18"/>
          <w:szCs w:val="18"/>
          <w:lang w:eastAsia="zh-CN"/>
        </w:rPr>
      </w:pPr>
      <w:r>
        <w:rPr>
          <w:rFonts w:ascii="Times New Roman" w:eastAsia="宋体" w:hAnsi="Times New Roman" w:cs="Times New Roman" w:hint="eastAsia"/>
          <w:color w:val="auto"/>
          <w:sz w:val="18"/>
          <w:szCs w:val="18"/>
          <w:lang w:eastAsia="zh-CN"/>
        </w:rPr>
        <w:t xml:space="preserve">Supplementary </w:t>
      </w:r>
      <w:r w:rsidR="002B2AE6">
        <w:rPr>
          <w:rFonts w:ascii="Times New Roman" w:hAnsi="Times New Roman" w:cs="Times New Roman"/>
          <w:color w:val="auto"/>
          <w:sz w:val="18"/>
          <w:szCs w:val="18"/>
        </w:rPr>
        <w:t>Table 1. Summary of Bibliometric Indicators, Definitions, Calculation Methods, and Interpretative Standards</w:t>
      </w:r>
      <w:r w:rsidR="002B2AE6">
        <w:rPr>
          <w:rFonts w:ascii="Times New Roman" w:eastAsia="宋体" w:hAnsi="Times New Roman" w:cs="Times New Roman" w:hint="eastAsia"/>
          <w:color w:val="auto"/>
          <w:sz w:val="18"/>
          <w:szCs w:val="18"/>
          <w:lang w:eastAsia="zh-CN"/>
        </w:rPr>
        <w:t>.</w:t>
      </w:r>
    </w:p>
    <w:tbl>
      <w:tblPr>
        <w:tblStyle w:val="af4"/>
        <w:tblW w:w="13095" w:type="dxa"/>
        <w:tblInd w:w="105" w:type="dxa"/>
        <w:tblLook w:val="04A0" w:firstRow="1" w:lastRow="0" w:firstColumn="1" w:lastColumn="0" w:noHBand="0" w:noVBand="1"/>
      </w:tblPr>
      <w:tblGrid>
        <w:gridCol w:w="2535"/>
        <w:gridCol w:w="2640"/>
        <w:gridCol w:w="2640"/>
        <w:gridCol w:w="2640"/>
        <w:gridCol w:w="2640"/>
      </w:tblGrid>
      <w:tr w:rsidR="00691A79" w14:paraId="25460D4D" w14:textId="77777777">
        <w:trPr>
          <w:trHeight w:val="211"/>
        </w:trPr>
        <w:tc>
          <w:tcPr>
            <w:tcW w:w="2535" w:type="dxa"/>
          </w:tcPr>
          <w:p w14:paraId="5A02F06D" w14:textId="77777777" w:rsidR="00691A79" w:rsidRDefault="002B2A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Metric</w:t>
            </w:r>
          </w:p>
        </w:tc>
        <w:tc>
          <w:tcPr>
            <w:tcW w:w="2640" w:type="dxa"/>
          </w:tcPr>
          <w:p w14:paraId="3DCE74CB" w14:textId="77777777" w:rsidR="00691A79" w:rsidRDefault="002B2A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Definition</w:t>
            </w:r>
          </w:p>
        </w:tc>
        <w:tc>
          <w:tcPr>
            <w:tcW w:w="2640" w:type="dxa"/>
          </w:tcPr>
          <w:p w14:paraId="34635881" w14:textId="77777777" w:rsidR="00691A79" w:rsidRDefault="002B2A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Calculation Method</w:t>
            </w:r>
          </w:p>
        </w:tc>
        <w:tc>
          <w:tcPr>
            <w:tcW w:w="2640" w:type="dxa"/>
          </w:tcPr>
          <w:p w14:paraId="62470EA6" w14:textId="77777777" w:rsidR="00691A79" w:rsidRDefault="002B2A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Interpretative Threshold</w:t>
            </w:r>
          </w:p>
        </w:tc>
        <w:tc>
          <w:tcPr>
            <w:tcW w:w="2640" w:type="dxa"/>
          </w:tcPr>
          <w:p w14:paraId="5B09E293" w14:textId="77777777" w:rsidR="00691A79" w:rsidRDefault="002B2A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References</w:t>
            </w:r>
          </w:p>
        </w:tc>
      </w:tr>
      <w:tr w:rsidR="00691A79" w14:paraId="7989D685" w14:textId="77777777">
        <w:trPr>
          <w:trHeight w:val="825"/>
        </w:trPr>
        <w:tc>
          <w:tcPr>
            <w:tcW w:w="2535" w:type="dxa"/>
          </w:tcPr>
          <w:p w14:paraId="0B790C08" w14:textId="77777777" w:rsidR="00691A79" w:rsidRDefault="002B2A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Betweenness Centrality (BC)</w:t>
            </w:r>
          </w:p>
        </w:tc>
        <w:tc>
          <w:tcPr>
            <w:tcW w:w="2640" w:type="dxa"/>
          </w:tcPr>
          <w:p w14:paraId="3DCF4634" w14:textId="77777777" w:rsidR="00691A79" w:rsidRDefault="002B2A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Measures a node's role as a bridge facilitating information flow between clusters in a network.</w:t>
            </w:r>
          </w:p>
        </w:tc>
        <w:tc>
          <w:tcPr>
            <w:tcW w:w="2640" w:type="dxa"/>
          </w:tcPr>
          <w:p w14:paraId="53C514AD" w14:textId="77777777" w:rsidR="00691A79" w:rsidRDefault="002B2A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Calculated using CiteSpace’s path-counting algorithm.</w:t>
            </w:r>
          </w:p>
        </w:tc>
        <w:tc>
          <w:tcPr>
            <w:tcW w:w="2640" w:type="dxa"/>
          </w:tcPr>
          <w:p w14:paraId="4AB71E3E" w14:textId="77777777" w:rsidR="00691A79" w:rsidRDefault="002B2A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BC &gt; 0.1 = 'high centrality'</w:t>
            </w:r>
          </w:p>
        </w:tc>
        <w:tc>
          <w:tcPr>
            <w:tcW w:w="2640" w:type="dxa"/>
          </w:tcPr>
          <w:p w14:paraId="6E1011DA" w14:textId="4434AECB" w:rsidR="00691A79" w:rsidRDefault="002B2AE6">
            <w:pPr>
              <w:spacing w:after="0" w:line="240" w:lineRule="auto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  <w:lang w:eastAsia="zh-CN"/>
              </w:rPr>
              <w:t>[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:lang w:eastAsia="zh-CN"/>
              </w:rPr>
              <w:t>]</w:t>
            </w:r>
          </w:p>
        </w:tc>
      </w:tr>
      <w:tr w:rsidR="00691A79" w14:paraId="5180A387" w14:textId="77777777">
        <w:trPr>
          <w:trHeight w:val="868"/>
        </w:trPr>
        <w:tc>
          <w:tcPr>
            <w:tcW w:w="2535" w:type="dxa"/>
          </w:tcPr>
          <w:p w14:paraId="37F7B61C" w14:textId="77777777" w:rsidR="00691A79" w:rsidRDefault="002B2A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 Link Strength (TLS)</w:t>
            </w:r>
          </w:p>
        </w:tc>
        <w:tc>
          <w:tcPr>
            <w:tcW w:w="2640" w:type="dxa"/>
          </w:tcPr>
          <w:p w14:paraId="35122B83" w14:textId="77777777" w:rsidR="00691A79" w:rsidRDefault="002B2A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 number of collaboration or co-citation links associated with a node (author, institution, or country).</w:t>
            </w:r>
          </w:p>
        </w:tc>
        <w:tc>
          <w:tcPr>
            <w:tcW w:w="2640" w:type="dxa"/>
          </w:tcPr>
          <w:p w14:paraId="151C042E" w14:textId="77777777" w:rsidR="00691A79" w:rsidRDefault="002B2A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Count of all link weights involving a given node (absolute values from VOSviewer).</w:t>
            </w:r>
          </w:p>
        </w:tc>
        <w:tc>
          <w:tcPr>
            <w:tcW w:w="2640" w:type="dxa"/>
          </w:tcPr>
          <w:p w14:paraId="6ED9060A" w14:textId="77777777" w:rsidR="00691A79" w:rsidRDefault="002B2A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Contextualized by network size; e.g., TLS = 11 = top 5%</w:t>
            </w:r>
          </w:p>
        </w:tc>
        <w:tc>
          <w:tcPr>
            <w:tcW w:w="2640" w:type="dxa"/>
          </w:tcPr>
          <w:p w14:paraId="16C9A9B8" w14:textId="298B3B2C" w:rsidR="00691A79" w:rsidRDefault="002B2AE6">
            <w:pPr>
              <w:spacing w:after="0" w:line="240" w:lineRule="auto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  <w:lang w:eastAsia="zh-CN"/>
              </w:rPr>
              <w:t>[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:lang w:eastAsia="zh-CN"/>
              </w:rPr>
              <w:t>]</w:t>
            </w:r>
          </w:p>
        </w:tc>
      </w:tr>
      <w:tr w:rsidR="00691A79" w14:paraId="05C25332" w14:textId="77777777">
        <w:trPr>
          <w:trHeight w:val="614"/>
        </w:trPr>
        <w:tc>
          <w:tcPr>
            <w:tcW w:w="2535" w:type="dxa"/>
          </w:tcPr>
          <w:p w14:paraId="4F0E47E9" w14:textId="77777777" w:rsidR="00691A79" w:rsidRDefault="002B2A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Multiple-Country Publication (MCP) Ratio</w:t>
            </w:r>
          </w:p>
        </w:tc>
        <w:tc>
          <w:tcPr>
            <w:tcW w:w="2640" w:type="dxa"/>
          </w:tcPr>
          <w:p w14:paraId="71E995A0" w14:textId="77777777" w:rsidR="00691A79" w:rsidRDefault="002B2A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Proportion of publications involving co-authors from two or more countries.</w:t>
            </w:r>
          </w:p>
        </w:tc>
        <w:tc>
          <w:tcPr>
            <w:tcW w:w="2640" w:type="dxa"/>
          </w:tcPr>
          <w:p w14:paraId="291E0F1E" w14:textId="77777777" w:rsidR="00691A79" w:rsidRDefault="002B2A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MCP (%) = (Number of MCP articles / Total publications) × 100</w:t>
            </w:r>
          </w:p>
        </w:tc>
        <w:tc>
          <w:tcPr>
            <w:tcW w:w="2640" w:type="dxa"/>
          </w:tcPr>
          <w:p w14:paraId="0136AC46" w14:textId="77777777" w:rsidR="00691A79" w:rsidRDefault="002B2A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MCP &gt; 20% = 'high international collaboration'</w:t>
            </w:r>
          </w:p>
        </w:tc>
        <w:tc>
          <w:tcPr>
            <w:tcW w:w="2640" w:type="dxa"/>
          </w:tcPr>
          <w:p w14:paraId="297B99A7" w14:textId="5580B20F" w:rsidR="00691A79" w:rsidRDefault="002B2AE6">
            <w:pPr>
              <w:spacing w:after="0" w:line="240" w:lineRule="auto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  <w:lang w:eastAsia="zh-CN"/>
              </w:rPr>
              <w:t>[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:lang w:eastAsia="zh-CN"/>
              </w:rPr>
              <w:t>]</w:t>
            </w:r>
          </w:p>
        </w:tc>
      </w:tr>
      <w:tr w:rsidR="00691A79" w14:paraId="5EE24464" w14:textId="77777777">
        <w:trPr>
          <w:trHeight w:val="645"/>
        </w:trPr>
        <w:tc>
          <w:tcPr>
            <w:tcW w:w="2535" w:type="dxa"/>
          </w:tcPr>
          <w:p w14:paraId="0AFE54A2" w14:textId="77777777" w:rsidR="00691A79" w:rsidRDefault="002B2A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h-index</w:t>
            </w:r>
          </w:p>
        </w:tc>
        <w:tc>
          <w:tcPr>
            <w:tcW w:w="2640" w:type="dxa"/>
          </w:tcPr>
          <w:p w14:paraId="5A01942B" w14:textId="77777777" w:rsidR="00691A79" w:rsidRDefault="002B2A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Quantifies productivity and citation impact of a researcher, institution, or journal.</w:t>
            </w:r>
          </w:p>
        </w:tc>
        <w:tc>
          <w:tcPr>
            <w:tcW w:w="2640" w:type="dxa"/>
          </w:tcPr>
          <w:p w14:paraId="099E187E" w14:textId="77777777" w:rsidR="00691A79" w:rsidRDefault="002B2A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 = number of papers (h) with ≥ h citations each.</w:t>
            </w:r>
          </w:p>
        </w:tc>
        <w:tc>
          <w:tcPr>
            <w:tcW w:w="2640" w:type="dxa"/>
          </w:tcPr>
          <w:p w14:paraId="111E53EC" w14:textId="77777777" w:rsidR="00691A79" w:rsidRDefault="002B2A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 fixed threshold; h ≥ 30 suggests strong research influence</w:t>
            </w:r>
          </w:p>
        </w:tc>
        <w:tc>
          <w:tcPr>
            <w:tcW w:w="2640" w:type="dxa"/>
          </w:tcPr>
          <w:p w14:paraId="53863669" w14:textId="067AC199" w:rsidR="00691A79" w:rsidRDefault="002B2AE6">
            <w:pPr>
              <w:spacing w:after="0" w:line="240" w:lineRule="auto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  <w:lang w:eastAsia="zh-CN"/>
              </w:rPr>
              <w:t>[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4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:lang w:eastAsia="zh-CN"/>
              </w:rPr>
              <w:t>]</w:t>
            </w:r>
          </w:p>
        </w:tc>
      </w:tr>
    </w:tbl>
    <w:p w14:paraId="29669FE6" w14:textId="77777777" w:rsidR="00691A79" w:rsidRDefault="002B2AE6">
      <w:pPr>
        <w:rPr>
          <w:rFonts w:eastAsia="宋体"/>
          <w:lang w:eastAsia="zh-CN"/>
        </w:rPr>
      </w:pPr>
      <w:r>
        <w:rPr>
          <w:rFonts w:eastAsia="宋体" w:hint="eastAsia"/>
          <w:noProof/>
          <w:lang w:eastAsia="zh-CN"/>
        </w:rPr>
        <w:lastRenderedPageBreak/>
        <w:drawing>
          <wp:inline distT="0" distB="0" distL="114300" distR="114300" wp14:anchorId="6431BBED" wp14:editId="6303613E">
            <wp:extent cx="8225790" cy="3392805"/>
            <wp:effectExtent l="0" t="0" r="3810" b="10795"/>
            <wp:docPr id="1" name="Picture 1" descr="Supplementary Fig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upplementary Figure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25790" cy="3392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0FFC9" w14:textId="1B669BFC" w:rsidR="00691A79" w:rsidRDefault="00EF3AE2">
      <w:pPr>
        <w:rPr>
          <w:rFonts w:ascii="Times New Roman" w:eastAsia="宋体" w:hAnsi="Times New Roman" w:cs="Times New Roman"/>
          <w:b/>
          <w:bCs/>
          <w:lang w:eastAsia="zh-CN"/>
        </w:rPr>
      </w:pPr>
      <w:r w:rsidRPr="00EF3AE2">
        <w:rPr>
          <w:rFonts w:ascii="Times New Roman" w:eastAsia="宋体" w:hAnsi="Times New Roman" w:cs="Times New Roman"/>
          <w:b/>
          <w:bCs/>
          <w:lang w:eastAsia="zh-CN"/>
        </w:rPr>
        <w:t>Supplementary</w:t>
      </w:r>
      <w:r w:rsidRPr="00EF3AE2">
        <w:rPr>
          <w:rFonts w:ascii="Times New Roman" w:eastAsia="宋体" w:hAnsi="Times New Roman" w:cs="Times New Roman"/>
          <w:b/>
          <w:bCs/>
          <w:lang w:eastAsia="zh-CN"/>
        </w:rPr>
        <w:t xml:space="preserve"> </w:t>
      </w:r>
      <w:r w:rsidR="002B2AE6">
        <w:rPr>
          <w:rFonts w:ascii="Times New Roman" w:eastAsia="宋体" w:hAnsi="Times New Roman" w:cs="Times New Roman"/>
          <w:b/>
          <w:bCs/>
          <w:lang w:eastAsia="zh-CN"/>
        </w:rPr>
        <w:t>Fig</w:t>
      </w:r>
      <w:r>
        <w:rPr>
          <w:rFonts w:ascii="Times New Roman" w:eastAsia="宋体" w:hAnsi="Times New Roman" w:cs="Times New Roman" w:hint="eastAsia"/>
          <w:b/>
          <w:bCs/>
          <w:lang w:eastAsia="zh-CN"/>
        </w:rPr>
        <w:t xml:space="preserve">. </w:t>
      </w:r>
      <w:r w:rsidR="002B2AE6">
        <w:rPr>
          <w:rFonts w:ascii="Times New Roman" w:eastAsia="宋体" w:hAnsi="Times New Roman" w:cs="Times New Roman"/>
          <w:b/>
          <w:bCs/>
          <w:lang w:eastAsia="zh-CN"/>
        </w:rPr>
        <w:t>1</w:t>
      </w:r>
      <w:r w:rsidR="000F450B">
        <w:rPr>
          <w:rFonts w:ascii="Times New Roman" w:eastAsia="宋体" w:hAnsi="Times New Roman" w:cs="Times New Roman" w:hint="eastAsia"/>
          <w:b/>
          <w:bCs/>
          <w:lang w:eastAsia="zh-CN"/>
        </w:rPr>
        <w:t xml:space="preserve"> </w:t>
      </w:r>
      <w:r w:rsidR="000F450B" w:rsidRPr="000F450B">
        <w:rPr>
          <w:rFonts w:ascii="Times New Roman" w:eastAsia="宋体" w:hAnsi="Times New Roman" w:cs="Times New Roman"/>
          <w:b/>
          <w:bCs/>
          <w:lang w:eastAsia="zh-CN"/>
        </w:rPr>
        <w:t>Annual publication trends and growth (19</w:t>
      </w:r>
      <w:r w:rsidR="000F450B">
        <w:rPr>
          <w:rFonts w:ascii="Times New Roman" w:eastAsia="宋体" w:hAnsi="Times New Roman" w:cs="Times New Roman" w:hint="eastAsia"/>
          <w:b/>
          <w:bCs/>
          <w:lang w:eastAsia="zh-CN"/>
        </w:rPr>
        <w:t>90</w:t>
      </w:r>
      <w:r w:rsidR="000F450B" w:rsidRPr="000F450B">
        <w:rPr>
          <w:rFonts w:ascii="Times New Roman" w:eastAsia="宋体" w:hAnsi="Times New Roman" w:cs="Times New Roman"/>
          <w:b/>
          <w:bCs/>
          <w:lang w:eastAsia="zh-CN"/>
        </w:rPr>
        <w:t>–2025)</w:t>
      </w:r>
    </w:p>
    <w:p w14:paraId="7A4B9B92" w14:textId="3E8C2976" w:rsidR="002B2AE6" w:rsidRPr="002B2AE6" w:rsidRDefault="002B2AE6">
      <w:pPr>
        <w:rPr>
          <w:rFonts w:ascii="Times New Roman" w:eastAsia="宋体" w:hAnsi="Times New Roman" w:cs="Times New Roman"/>
          <w:b/>
          <w:bCs/>
          <w:lang w:eastAsia="zh-CN"/>
        </w:rPr>
      </w:pPr>
      <w:r w:rsidRPr="002B2AE6">
        <w:rPr>
          <w:rFonts w:ascii="Times New Roman" w:eastAsia="宋体" w:hAnsi="Times New Roman" w:cs="Times New Roman" w:hint="eastAsia"/>
          <w:b/>
          <w:bCs/>
          <w:lang w:eastAsia="zh-CN"/>
        </w:rPr>
        <w:t>R</w:t>
      </w:r>
      <w:r w:rsidRPr="002B2AE6">
        <w:rPr>
          <w:rFonts w:ascii="Times New Roman" w:eastAsia="宋体" w:hAnsi="Times New Roman" w:cs="Times New Roman"/>
          <w:b/>
          <w:bCs/>
          <w:lang w:eastAsia="zh-CN"/>
        </w:rPr>
        <w:t>eference</w:t>
      </w:r>
    </w:p>
    <w:p w14:paraId="48AD9DF6" w14:textId="45C92E44" w:rsidR="002B2AE6" w:rsidRPr="00DF76EF" w:rsidRDefault="002B2AE6" w:rsidP="002B2AE6">
      <w:pPr>
        <w:pStyle w:val="Reference"/>
        <w:ind w:left="360" w:hanging="360"/>
        <w:rPr>
          <w:color w:val="auto"/>
        </w:rPr>
      </w:pPr>
      <w:r w:rsidRPr="00DF76EF">
        <w:rPr>
          <w:color w:val="auto"/>
        </w:rPr>
        <w:t>[</w:t>
      </w:r>
      <w:r>
        <w:rPr>
          <w:color w:val="auto"/>
        </w:rPr>
        <w:t>1</w:t>
      </w:r>
      <w:r w:rsidRPr="00DF76EF">
        <w:rPr>
          <w:color w:val="auto"/>
        </w:rPr>
        <w:t>] Chen C. CiteSpace II: Detecting and visualizing emerging trends and transient patterns in scientific literature. Journal of the American Society for information Science and Technology. 2006; 57: 359–377.</w:t>
      </w:r>
      <w:r w:rsidRPr="00DF76EF">
        <w:t xml:space="preserve"> https://doi.org/10.1002/asi.20317</w:t>
      </w:r>
      <w:r>
        <w:t>.</w:t>
      </w:r>
    </w:p>
    <w:p w14:paraId="10419A5F" w14:textId="02FE39A1" w:rsidR="002B2AE6" w:rsidRDefault="002B2AE6" w:rsidP="002B2AE6">
      <w:pPr>
        <w:pStyle w:val="Reference"/>
        <w:ind w:left="360" w:hanging="360"/>
      </w:pPr>
      <w:r>
        <w:t>[2] van Eck NJ, Waltman L. Software survey: VOSviewer, a computer program for bibliometric mapping. Scientometrics. 2010; 84: 523–538. https://doi.org/10.1007/s11192-009-0146-3.</w:t>
      </w:r>
    </w:p>
    <w:p w14:paraId="0C503116" w14:textId="2BA5FBA4" w:rsidR="002B2AE6" w:rsidRPr="00BE3B07" w:rsidRDefault="002B2AE6" w:rsidP="002B2AE6">
      <w:pPr>
        <w:pStyle w:val="Reference"/>
        <w:ind w:left="360" w:hanging="360"/>
        <w:rPr>
          <w:color w:val="auto"/>
        </w:rPr>
      </w:pPr>
      <w:r w:rsidRPr="00BE3B07">
        <w:rPr>
          <w:color w:val="auto"/>
        </w:rPr>
        <w:t>[</w:t>
      </w:r>
      <w:r>
        <w:rPr>
          <w:color w:val="auto"/>
        </w:rPr>
        <w:t>3</w:t>
      </w:r>
      <w:r w:rsidRPr="00BE3B07">
        <w:rPr>
          <w:color w:val="auto"/>
        </w:rPr>
        <w:t xml:space="preserve">] Aria M, Cuccurullo C. </w:t>
      </w:r>
      <w:r>
        <w:rPr>
          <w:color w:val="auto"/>
        </w:rPr>
        <w:t>Bibliometrix</w:t>
      </w:r>
      <w:r w:rsidRPr="00BE3B07">
        <w:rPr>
          <w:color w:val="auto"/>
        </w:rPr>
        <w:t>: An R-tool for comprehensive science mapping analysis. Journal of Informetrics. 2017; 11: 959–975. https://doi.org/10.1016/j.joi.2017.08.007.</w:t>
      </w:r>
    </w:p>
    <w:p w14:paraId="7B77C32C" w14:textId="71201BFB" w:rsidR="002B2AE6" w:rsidRDefault="002B2AE6" w:rsidP="002B2AE6">
      <w:pPr>
        <w:pStyle w:val="Reference"/>
        <w:ind w:left="360" w:hanging="360"/>
      </w:pPr>
      <w:r>
        <w:t>[4] Bertoli-Barsotti L, Lando T. A theoretical model of the relationship between the </w:t>
      </w:r>
      <w:r>
        <w:rPr>
          <w:i/>
          <w:iCs/>
        </w:rPr>
        <w:t>h</w:t>
      </w:r>
      <w:r>
        <w:t>-index and other simple citation indicators. Scientometrics. 2017; 111: 1415–1448. https://doi.org/10.1007/s11192-017-2351-9.</w:t>
      </w:r>
    </w:p>
    <w:p w14:paraId="21B3F819" w14:textId="77777777" w:rsidR="002B2AE6" w:rsidRDefault="002B2AE6">
      <w:pPr>
        <w:rPr>
          <w:rFonts w:ascii="Times New Roman" w:eastAsia="宋体" w:hAnsi="Times New Roman" w:cs="Times New Roman"/>
          <w:b/>
          <w:bCs/>
          <w:lang w:eastAsia="zh-CN"/>
        </w:rPr>
      </w:pPr>
    </w:p>
    <w:sectPr w:rsidR="002B2AE6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9613A" w14:textId="77777777" w:rsidR="009C51C9" w:rsidRDefault="009C51C9">
      <w:pPr>
        <w:spacing w:line="240" w:lineRule="auto"/>
      </w:pPr>
      <w:r>
        <w:separator/>
      </w:r>
    </w:p>
  </w:endnote>
  <w:endnote w:type="continuationSeparator" w:id="0">
    <w:p w14:paraId="368086EA" w14:textId="77777777" w:rsidR="009C51C9" w:rsidRDefault="009C51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42FA6" w14:textId="77777777" w:rsidR="009C51C9" w:rsidRDefault="009C51C9">
      <w:pPr>
        <w:spacing w:after="0"/>
      </w:pPr>
      <w:r>
        <w:separator/>
      </w:r>
    </w:p>
  </w:footnote>
  <w:footnote w:type="continuationSeparator" w:id="0">
    <w:p w14:paraId="523F2D22" w14:textId="77777777" w:rsidR="009C51C9" w:rsidRDefault="009C51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2117826966">
    <w:abstractNumId w:val="5"/>
  </w:num>
  <w:num w:numId="2" w16cid:durableId="158622085">
    <w:abstractNumId w:val="3"/>
  </w:num>
  <w:num w:numId="3" w16cid:durableId="1574126050">
    <w:abstractNumId w:val="2"/>
  </w:num>
  <w:num w:numId="4" w16cid:durableId="1571577490">
    <w:abstractNumId w:val="4"/>
  </w:num>
  <w:num w:numId="5" w16cid:durableId="52243846">
    <w:abstractNumId w:val="1"/>
  </w:num>
  <w:num w:numId="6" w16cid:durableId="971977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F450B"/>
    <w:rsid w:val="0015074B"/>
    <w:rsid w:val="00280401"/>
    <w:rsid w:val="0029639D"/>
    <w:rsid w:val="002B2AE6"/>
    <w:rsid w:val="00326F90"/>
    <w:rsid w:val="00691A79"/>
    <w:rsid w:val="008A2413"/>
    <w:rsid w:val="009C51C9"/>
    <w:rsid w:val="00AA1D8D"/>
    <w:rsid w:val="00B47730"/>
    <w:rsid w:val="00C054AA"/>
    <w:rsid w:val="00CB0664"/>
    <w:rsid w:val="00EF3AE2"/>
    <w:rsid w:val="00F67240"/>
    <w:rsid w:val="00FC693F"/>
    <w:rsid w:val="0E414888"/>
    <w:rsid w:val="7C5B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6C5373"/>
  <w14:defaultImageDpi w14:val="300"/>
  <w15:docId w15:val="{10B00FE8-714F-4A4B-8265-29B48F2C9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 w:qFormat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unhideWhenUsed="1" w:qFormat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uiPriority w:val="99"/>
    <w:unhideWhenUsed/>
    <w:qFormat/>
    <w:pPr>
      <w:spacing w:after="120"/>
    </w:pPr>
  </w:style>
  <w:style w:type="paragraph" w:styleId="23">
    <w:name w:val="Body Text 2"/>
    <w:basedOn w:val="a1"/>
    <w:link w:val="24"/>
    <w:uiPriority w:val="99"/>
    <w:unhideWhenUsed/>
    <w:qFormat/>
    <w:pPr>
      <w:spacing w:after="120" w:line="480" w:lineRule="auto"/>
    </w:pPr>
  </w:style>
  <w:style w:type="paragraph" w:styleId="33">
    <w:name w:val="Body Text 3"/>
    <w:basedOn w:val="a1"/>
    <w:link w:val="34"/>
    <w:uiPriority w:val="99"/>
    <w:unhideWhenUsed/>
    <w:qFormat/>
    <w:pPr>
      <w:spacing w:after="120"/>
    </w:pPr>
    <w:rPr>
      <w:sz w:val="16"/>
      <w:szCs w:val="16"/>
    </w:rPr>
  </w:style>
  <w:style w:type="paragraph" w:styleId="a7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8">
    <w:name w:val="Emphasis"/>
    <w:basedOn w:val="a2"/>
    <w:uiPriority w:val="20"/>
    <w:qFormat/>
    <w:rPr>
      <w:i/>
      <w:iCs/>
    </w:rPr>
  </w:style>
  <w:style w:type="paragraph" w:styleId="a9">
    <w:name w:val="footer"/>
    <w:basedOn w:val="a1"/>
    <w:link w:val="aa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header"/>
    <w:basedOn w:val="a1"/>
    <w:link w:val="ac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d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25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35">
    <w:name w:val="List 3"/>
    <w:basedOn w:val="a1"/>
    <w:uiPriority w:val="99"/>
    <w:unhideWhenUsed/>
    <w:qFormat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qFormat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qFormat/>
    <w:pPr>
      <w:numPr>
        <w:numId w:val="3"/>
      </w:numPr>
      <w:contextualSpacing/>
    </w:pPr>
  </w:style>
  <w:style w:type="paragraph" w:styleId="ae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qFormat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a">
    <w:name w:val="List Number"/>
    <w:basedOn w:val="a1"/>
    <w:uiPriority w:val="99"/>
    <w:unhideWhenUsed/>
    <w:qFormat/>
    <w:pPr>
      <w:numPr>
        <w:numId w:val="4"/>
      </w:numPr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5"/>
      </w:numPr>
      <w:contextualSpacing/>
    </w:pPr>
  </w:style>
  <w:style w:type="paragraph" w:styleId="3">
    <w:name w:val="List Number 3"/>
    <w:basedOn w:val="a1"/>
    <w:uiPriority w:val="99"/>
    <w:unhideWhenUsed/>
    <w:qFormat/>
    <w:pPr>
      <w:numPr>
        <w:numId w:val="6"/>
      </w:numPr>
      <w:contextualSpacing/>
    </w:pPr>
  </w:style>
  <w:style w:type="paragraph" w:styleId="af">
    <w:name w:val="macro"/>
    <w:link w:val="af0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eastAsia="en-US"/>
    </w:rPr>
  </w:style>
  <w:style w:type="character" w:styleId="af1">
    <w:name w:val="Strong"/>
    <w:basedOn w:val="a2"/>
    <w:uiPriority w:val="22"/>
    <w:qFormat/>
    <w:rPr>
      <w:b/>
      <w:bCs/>
    </w:rPr>
  </w:style>
  <w:style w:type="paragraph" w:styleId="af2">
    <w:name w:val="Subtitle"/>
    <w:basedOn w:val="a1"/>
    <w:next w:val="a1"/>
    <w:link w:val="af3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f4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Title"/>
    <w:basedOn w:val="a1"/>
    <w:next w:val="a1"/>
    <w:link w:val="af6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7">
    <w:name w:val="Light Shading"/>
    <w:basedOn w:val="a3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qFormat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8">
    <w:name w:val="Light List"/>
    <w:basedOn w:val="a3"/>
    <w:uiPriority w:val="61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9">
    <w:name w:val="Light Grid"/>
    <w:basedOn w:val="a3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1">
    <w:name w:val="Medium Shading 1"/>
    <w:basedOn w:val="a3"/>
    <w:uiPriority w:val="63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qFormat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qFormat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a">
    <w:name w:val="Dark List"/>
    <w:basedOn w:val="a3"/>
    <w:uiPriority w:val="70"/>
    <w:qFormat/>
    <w:rPr>
      <w:color w:val="FFFFFF" w:themeColor="background1"/>
    </w:rPr>
    <w:tblPr/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Pr>
      <w:color w:val="FFFFFF" w:themeColor="background1"/>
    </w:rPr>
    <w:tblPr/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/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qFormat/>
    <w:rPr>
      <w:color w:val="FFFFFF" w:themeColor="background1"/>
    </w:rPr>
    <w:tblPr/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qFormat/>
    <w:rPr>
      <w:color w:val="FFFFFF" w:themeColor="background1"/>
    </w:rPr>
    <w:tblPr/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qFormat/>
    <w:rPr>
      <w:color w:val="FFFFFF" w:themeColor="background1"/>
    </w:rPr>
    <w:tblPr/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qFormat/>
    <w:rPr>
      <w:color w:val="FFFFFF" w:themeColor="background1"/>
    </w:rPr>
    <w:tblPr/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b">
    <w:name w:val="Colorful Shading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qFormat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qFormat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c">
    <w:name w:val="Colorful List"/>
    <w:basedOn w:val="a3"/>
    <w:uiPriority w:val="72"/>
    <w:qFormat/>
    <w:rPr>
      <w:color w:val="000000" w:themeColor="text1"/>
    </w:rPr>
    <w:tblPr/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Pr>
      <w:color w:val="000000" w:themeColor="text1"/>
    </w:rPr>
    <w:tblPr/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qFormat/>
    <w:rPr>
      <w:color w:val="000000" w:themeColor="text1"/>
    </w:rPr>
    <w:tblPr/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/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qFormat/>
    <w:rPr>
      <w:color w:val="000000" w:themeColor="text1"/>
    </w:rPr>
    <w:tblPr/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qFormat/>
    <w:rPr>
      <w:color w:val="000000" w:themeColor="text1"/>
    </w:rPr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qFormat/>
    <w:rPr>
      <w:color w:val="000000" w:themeColor="text1"/>
    </w:rPr>
    <w:tblPr/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d">
    <w:name w:val="Colorful Grid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ac">
    <w:name w:val="页眉 字符"/>
    <w:basedOn w:val="a2"/>
    <w:link w:val="ab"/>
    <w:uiPriority w:val="99"/>
    <w:qFormat/>
  </w:style>
  <w:style w:type="character" w:customStyle="1" w:styleId="aa">
    <w:name w:val="页脚 字符"/>
    <w:basedOn w:val="a2"/>
    <w:link w:val="a9"/>
    <w:uiPriority w:val="99"/>
    <w:qFormat/>
  </w:style>
  <w:style w:type="paragraph" w:styleId="afe">
    <w:name w:val="No Spacing"/>
    <w:uiPriority w:val="1"/>
    <w:qFormat/>
    <w:rPr>
      <w:sz w:val="22"/>
      <w:szCs w:val="22"/>
      <w:lang w:eastAsia="en-US"/>
    </w:rPr>
  </w:style>
  <w:style w:type="character" w:customStyle="1" w:styleId="10">
    <w:name w:val="标题 1 字符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6">
    <w:name w:val="标题 字符"/>
    <w:basedOn w:val="a2"/>
    <w:link w:val="af5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副标题 字符"/>
    <w:basedOn w:val="a2"/>
    <w:link w:val="af2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">
    <w:name w:val="List Paragraph"/>
    <w:basedOn w:val="a1"/>
    <w:uiPriority w:val="34"/>
    <w:qFormat/>
    <w:pPr>
      <w:ind w:left="720"/>
      <w:contextualSpacing/>
    </w:pPr>
  </w:style>
  <w:style w:type="character" w:customStyle="1" w:styleId="a6">
    <w:name w:val="正文文本 字符"/>
    <w:basedOn w:val="a2"/>
    <w:link w:val="a5"/>
    <w:uiPriority w:val="99"/>
    <w:qFormat/>
  </w:style>
  <w:style w:type="character" w:customStyle="1" w:styleId="24">
    <w:name w:val="正文文本 2 字符"/>
    <w:basedOn w:val="a2"/>
    <w:link w:val="23"/>
    <w:uiPriority w:val="99"/>
    <w:qFormat/>
  </w:style>
  <w:style w:type="character" w:customStyle="1" w:styleId="34">
    <w:name w:val="正文文本 3 字符"/>
    <w:basedOn w:val="a2"/>
    <w:link w:val="33"/>
    <w:uiPriority w:val="99"/>
    <w:qFormat/>
    <w:rPr>
      <w:sz w:val="16"/>
      <w:szCs w:val="16"/>
    </w:rPr>
  </w:style>
  <w:style w:type="character" w:customStyle="1" w:styleId="af0">
    <w:name w:val="宏文本 字符"/>
    <w:basedOn w:val="a2"/>
    <w:link w:val="af"/>
    <w:uiPriority w:val="99"/>
    <w:qFormat/>
    <w:rPr>
      <w:rFonts w:ascii="Courier" w:hAnsi="Courier"/>
      <w:sz w:val="20"/>
      <w:szCs w:val="20"/>
    </w:rPr>
  </w:style>
  <w:style w:type="paragraph" w:styleId="aff0">
    <w:name w:val="Quote"/>
    <w:basedOn w:val="a1"/>
    <w:next w:val="a1"/>
    <w:link w:val="aff1"/>
    <w:uiPriority w:val="29"/>
    <w:qFormat/>
    <w:rPr>
      <w:i/>
      <w:iCs/>
      <w:color w:val="000000" w:themeColor="text1"/>
    </w:rPr>
  </w:style>
  <w:style w:type="character" w:customStyle="1" w:styleId="aff1">
    <w:name w:val="引用 字符"/>
    <w:basedOn w:val="a2"/>
    <w:link w:val="aff0"/>
    <w:uiPriority w:val="29"/>
    <w:qFormat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标题 6 字符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标题 7 字符"/>
    <w:basedOn w:val="a2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2">
    <w:name w:val="Intense Quote"/>
    <w:basedOn w:val="a1"/>
    <w:next w:val="a1"/>
    <w:link w:val="aff3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3">
    <w:name w:val="明显引用 字符"/>
    <w:basedOn w:val="a2"/>
    <w:link w:val="aff2"/>
    <w:uiPriority w:val="30"/>
    <w:qFormat/>
    <w:rPr>
      <w:b/>
      <w:bCs/>
      <w:i/>
      <w:iCs/>
      <w:color w:val="4F81BD" w:themeColor="accent1"/>
    </w:rPr>
  </w:style>
  <w:style w:type="character" w:customStyle="1" w:styleId="SubtleEmphasis1">
    <w:name w:val="Subtle Emphasis1"/>
    <w:basedOn w:val="a2"/>
    <w:uiPriority w:val="19"/>
    <w:qFormat/>
    <w:rPr>
      <w:i/>
      <w:iCs/>
      <w:color w:val="7F7F7F" w:themeColor="text1" w:themeTint="80"/>
    </w:rPr>
  </w:style>
  <w:style w:type="character" w:customStyle="1" w:styleId="IntenseEmphasis1">
    <w:name w:val="Intense Emphasis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SubtleReference1">
    <w:name w:val="Subtle Reference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IntenseReference1">
    <w:name w:val="Intense Reference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BookTitle1">
    <w:name w:val="Book Title1"/>
    <w:basedOn w:val="a2"/>
    <w:uiPriority w:val="33"/>
    <w:qFormat/>
    <w:rPr>
      <w:b/>
      <w:bCs/>
      <w:smallCaps/>
      <w:spacing w:val="5"/>
    </w:rPr>
  </w:style>
  <w:style w:type="paragraph" w:customStyle="1" w:styleId="TOCHeading1">
    <w:name w:val="TOC Heading1"/>
    <w:basedOn w:val="1"/>
    <w:next w:val="a1"/>
    <w:uiPriority w:val="39"/>
    <w:semiHidden/>
    <w:unhideWhenUsed/>
    <w:qFormat/>
    <w:pPr>
      <w:outlineLvl w:val="9"/>
    </w:pPr>
  </w:style>
  <w:style w:type="paragraph" w:customStyle="1" w:styleId="Reference">
    <w:name w:val="Reference"/>
    <w:link w:val="Reference0"/>
    <w:uiPriority w:val="19"/>
    <w:qFormat/>
    <w:rsid w:val="002B2AE6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sz w:val="18"/>
      <w:szCs w:val="21"/>
      <w:lang w:eastAsia="de-DE" w:bidi="en-US"/>
    </w:rPr>
  </w:style>
  <w:style w:type="character" w:customStyle="1" w:styleId="Reference0">
    <w:name w:val="Reference 字符"/>
    <w:basedOn w:val="a2"/>
    <w:link w:val="Reference"/>
    <w:uiPriority w:val="19"/>
    <w:rsid w:val="002B2AE6"/>
    <w:rPr>
      <w:rFonts w:ascii="Times New Roman" w:eastAsia="Times New Roman" w:hAnsi="Times New Roman" w:cs="Times New Roman"/>
      <w:snapToGrid w:val="0"/>
      <w:color w:val="000000"/>
      <w:sz w:val="18"/>
      <w:szCs w:val="21"/>
      <w:lang w:eastAsia="de-DE" w:bidi="en-US"/>
    </w:rPr>
  </w:style>
  <w:style w:type="character" w:styleId="aff4">
    <w:name w:val="annotation reference"/>
    <w:basedOn w:val="a2"/>
    <w:uiPriority w:val="99"/>
    <w:semiHidden/>
    <w:unhideWhenUsed/>
    <w:rsid w:val="002B2AE6"/>
    <w:rPr>
      <w:sz w:val="21"/>
      <w:szCs w:val="21"/>
    </w:rPr>
  </w:style>
  <w:style w:type="paragraph" w:styleId="aff5">
    <w:name w:val="annotation text"/>
    <w:basedOn w:val="a1"/>
    <w:link w:val="aff6"/>
    <w:uiPriority w:val="99"/>
    <w:unhideWhenUsed/>
    <w:rsid w:val="002B2AE6"/>
  </w:style>
  <w:style w:type="character" w:customStyle="1" w:styleId="aff6">
    <w:name w:val="批注文字 字符"/>
    <w:basedOn w:val="a2"/>
    <w:link w:val="aff5"/>
    <w:uiPriority w:val="99"/>
    <w:rsid w:val="002B2AE6"/>
    <w:rPr>
      <w:sz w:val="22"/>
      <w:szCs w:val="22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2B2AE6"/>
    <w:rPr>
      <w:b/>
      <w:bCs/>
    </w:rPr>
  </w:style>
  <w:style w:type="character" w:customStyle="1" w:styleId="aff8">
    <w:name w:val="批注主题 字符"/>
    <w:basedOn w:val="aff6"/>
    <w:link w:val="aff7"/>
    <w:uiPriority w:val="99"/>
    <w:semiHidden/>
    <w:rsid w:val="002B2AE6"/>
    <w:rPr>
      <w:b/>
      <w:bCs/>
      <w:sz w:val="22"/>
      <w:szCs w:val="22"/>
      <w:lang w:eastAsia="en-US"/>
    </w:rPr>
  </w:style>
  <w:style w:type="paragraph" w:styleId="aff9">
    <w:name w:val="Normal (Web)"/>
    <w:basedOn w:val="a1"/>
    <w:uiPriority w:val="99"/>
    <w:unhideWhenUsed/>
    <w:rsid w:val="002B2AE6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1754</Characters>
  <Application>Microsoft Office Word</Application>
  <DocSecurity>0</DocSecurity>
  <Lines>58</Lines>
  <Paragraphs>36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Yvette</cp:lastModifiedBy>
  <cp:revision>3</cp:revision>
  <dcterms:created xsi:type="dcterms:W3CDTF">2025-06-24T01:45:00Z</dcterms:created>
  <dcterms:modified xsi:type="dcterms:W3CDTF">2025-06-27T02:38:00Z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eyJoZGlkIjoiZTQ4ODQwNThiYTg4YTBlNDhkZDRmNGNiNWM5NWE1YzAiLCJ1c2VySWQiOiIxMzcwMzM3Mjc3In0=</vt:lpwstr>
  </property>
  <property fmtid="{D5CDD505-2E9C-101B-9397-08002B2CF9AE}" pid="3" name="KSOProductBuildVer">
    <vt:lpwstr>1033-12.2.0.21179</vt:lpwstr>
  </property>
  <property fmtid="{D5CDD505-2E9C-101B-9397-08002B2CF9AE}" pid="4" name="ICV">
    <vt:lpwstr>7F41ECC326B54057966070C9A00BC601_13</vt:lpwstr>
  </property>
  <property fmtid="{D5CDD505-2E9C-101B-9397-08002B2CF9AE}" pid="5" name="GrammarlyDocumentId">
    <vt:lpwstr>a33fb904-ecef-44dc-9e42-6c9d024e7812</vt:lpwstr>
  </property>
</Properties>
</file>